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18" w:rsidRPr="00586818" w:rsidRDefault="00586818" w:rsidP="00586818">
      <w:pPr>
        <w:keepNext/>
        <w:keepLines/>
        <w:spacing w:after="333" w:line="360" w:lineRule="auto"/>
        <w:ind w:left="-284" w:right="20"/>
        <w:jc w:val="center"/>
        <w:rPr>
          <w:b/>
        </w:rPr>
      </w:pPr>
      <w:r w:rsidRPr="00586818">
        <w:rPr>
          <w:b/>
        </w:rPr>
        <w:t>ПРИМЕРНЫЕ НАПРАВЛЕНИЯ ИССЛЕДОВАНИЙ</w:t>
      </w:r>
    </w:p>
    <w:p w:rsidR="00586818" w:rsidRPr="00586818" w:rsidRDefault="00586818" w:rsidP="00586818">
      <w:pPr>
        <w:keepNext/>
        <w:keepLines/>
        <w:spacing w:after="333" w:line="360" w:lineRule="auto"/>
        <w:ind w:left="-284" w:right="20"/>
        <w:jc w:val="center"/>
        <w:rPr>
          <w:sz w:val="28"/>
          <w:szCs w:val="28"/>
        </w:rPr>
      </w:pPr>
      <w:r w:rsidRPr="00586818">
        <w:rPr>
          <w:sz w:val="28"/>
          <w:szCs w:val="28"/>
        </w:rPr>
        <w:t>Рекомендуемыми направлениями исследований магистрантов являются: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 xml:space="preserve">Построение центральной </w:t>
      </w:r>
      <w:proofErr w:type="gramStart"/>
      <w:r w:rsidRPr="00586818">
        <w:rPr>
          <w:rFonts w:ascii="Times New Roman" w:hAnsi="Times New Roman" w:cs="Times New Roman"/>
          <w:sz w:val="28"/>
          <w:szCs w:val="28"/>
        </w:rPr>
        <w:t>системы определения места повреждения воздушных линий</w:t>
      </w:r>
      <w:proofErr w:type="gramEnd"/>
      <w:r w:rsidRPr="00586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818">
        <w:rPr>
          <w:rFonts w:ascii="Times New Roman" w:hAnsi="Times New Roman" w:cs="Times New Roman"/>
          <w:sz w:val="28"/>
          <w:szCs w:val="28"/>
        </w:rPr>
        <w:t>энергорайона</w:t>
      </w:r>
      <w:proofErr w:type="spellEnd"/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Расчет устойчивости электрической сети крупного промышленного района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 xml:space="preserve">Реализация определения места повреждения кабельной и кабельно-воздушной линии 110 </w:t>
      </w:r>
      <w:proofErr w:type="spellStart"/>
      <w:r w:rsidRPr="0058681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586818">
        <w:rPr>
          <w:rFonts w:ascii="Times New Roman" w:hAnsi="Times New Roman" w:cs="Times New Roman"/>
          <w:sz w:val="28"/>
          <w:szCs w:val="28"/>
        </w:rPr>
        <w:t xml:space="preserve"> и выше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 xml:space="preserve">Определение мест замыкания в сетях 6-10 </w:t>
      </w:r>
      <w:proofErr w:type="spellStart"/>
      <w:r w:rsidRPr="00586818">
        <w:rPr>
          <w:rFonts w:ascii="Times New Roman" w:hAnsi="Times New Roman" w:cs="Times New Roman"/>
          <w:sz w:val="28"/>
          <w:szCs w:val="28"/>
        </w:rPr>
        <w:t>кВ</w:t>
      </w:r>
      <w:proofErr w:type="spellEnd"/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Разработка мероприятий по повышению надежности энергетических систем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Построение системы мониторинга и диагностики (непрерывного контроля) выключателей 500кВ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Анализ качества электроэнергии при снабжении и пути его повышения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Современные методы диагностики контроля высоковольтного электрооборудования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 xml:space="preserve">Заземление опор </w:t>
      </w:r>
      <w:proofErr w:type="gramStart"/>
      <w:r w:rsidRPr="00586818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586818">
        <w:rPr>
          <w:rFonts w:ascii="Times New Roman" w:hAnsi="Times New Roman" w:cs="Times New Roman"/>
          <w:sz w:val="28"/>
          <w:szCs w:val="28"/>
        </w:rPr>
        <w:t xml:space="preserve"> 110 – 500 </w:t>
      </w:r>
      <w:proofErr w:type="spellStart"/>
      <w:r w:rsidRPr="00586818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Pr="00586818">
        <w:rPr>
          <w:rFonts w:ascii="Times New Roman" w:hAnsi="Times New Roman" w:cs="Times New Roman"/>
          <w:sz w:val="28"/>
          <w:szCs w:val="28"/>
        </w:rPr>
        <w:t xml:space="preserve"> Контроль состояния заземляющего устройства опор ВЛ 110 – 500 </w:t>
      </w:r>
      <w:proofErr w:type="spellStart"/>
      <w:r w:rsidRPr="0058681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586818">
        <w:rPr>
          <w:rFonts w:ascii="Times New Roman" w:hAnsi="Times New Roman" w:cs="Times New Roman"/>
          <w:sz w:val="28"/>
          <w:szCs w:val="28"/>
        </w:rPr>
        <w:t xml:space="preserve"> в эксплуатации. Требования. Применение современных методов контроля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Оптимизация работы высоковольтного электрооборудования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Разработка схемы гарантированного питания ответственных потребителей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Повышение эффективности электроснабжения потребителей распределительных сетей 3-35кВ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Расчета статической и динамической устойчивости электроэнергетической системы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Оптимизация рабочих напряжений в центрах питания радиальных электрических сетей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Технико-экономическое обоснование схемы выдачи мощности мини-</w:t>
      </w:r>
      <w:r w:rsidRPr="00586818">
        <w:rPr>
          <w:rFonts w:ascii="Times New Roman" w:hAnsi="Times New Roman" w:cs="Times New Roman"/>
          <w:sz w:val="28"/>
          <w:szCs w:val="28"/>
        </w:rPr>
        <w:lastRenderedPageBreak/>
        <w:t>ТЭЦ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 xml:space="preserve">Оптимизация в системе электроснабжение наружного освещение  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Диагностика маслонаполненных трансформаторов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Организация удаленного мониторинга оборудования службы диспетчерского и технологического управления и каналов связи. Создание единой системы удаленного мониторинга оборудования службы диспетчерского и технологического управления и каналов связи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Расчет режимов районной электрической сети с учетом устойчивости системы. Влияние выбора оборудования на устойчивость системы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Диагностика технического состояния трансформатора по исследованию трансформаторного масла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 xml:space="preserve">Организация мониторинга состояния высокочастотного (ВЧ) тракта. Создание </w:t>
      </w:r>
      <w:proofErr w:type="gramStart"/>
      <w:r w:rsidRPr="00586818">
        <w:rPr>
          <w:rFonts w:ascii="Times New Roman" w:hAnsi="Times New Roman" w:cs="Times New Roman"/>
          <w:sz w:val="28"/>
          <w:szCs w:val="28"/>
        </w:rPr>
        <w:t>методики поиска источников возникновения помех</w:t>
      </w:r>
      <w:proofErr w:type="gramEnd"/>
      <w:r w:rsidRPr="00586818">
        <w:rPr>
          <w:rFonts w:ascii="Times New Roman" w:hAnsi="Times New Roman" w:cs="Times New Roman"/>
          <w:sz w:val="28"/>
          <w:szCs w:val="28"/>
        </w:rPr>
        <w:t xml:space="preserve"> в высокочастотном тракте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Применение современных средств расчета на механическую прочность при моделировании электрических сетей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SWOT-анализ методов расчета ставок платы за технологическое присоединение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 xml:space="preserve">Повышение устойчивости и надежности электрической сети при </w:t>
      </w:r>
      <w:proofErr w:type="spellStart"/>
      <w:r w:rsidRPr="00586818">
        <w:rPr>
          <w:rFonts w:ascii="Times New Roman" w:hAnsi="Times New Roman" w:cs="Times New Roman"/>
          <w:sz w:val="28"/>
          <w:szCs w:val="28"/>
        </w:rPr>
        <w:t>резкопеременной</w:t>
      </w:r>
      <w:proofErr w:type="spellEnd"/>
      <w:r w:rsidRPr="00586818">
        <w:rPr>
          <w:rFonts w:ascii="Times New Roman" w:hAnsi="Times New Roman" w:cs="Times New Roman"/>
          <w:sz w:val="28"/>
          <w:szCs w:val="28"/>
        </w:rPr>
        <w:t xml:space="preserve"> нагрузке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Исследование параметров электрической сети на предмет показателей качества электроэнергии с помощью современных технических средств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Применение компактных линий для повышения пропускной способности электропередачи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Роль системы внутреннего контроля в повышении эффективности деятельности сетевых компаний</w:t>
      </w:r>
    </w:p>
    <w:p w:rsidR="00586818" w:rsidRPr="00586818" w:rsidRDefault="00586818" w:rsidP="00586818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-28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86818">
        <w:rPr>
          <w:rFonts w:ascii="Times New Roman" w:hAnsi="Times New Roman" w:cs="Times New Roman"/>
          <w:sz w:val="28"/>
          <w:szCs w:val="28"/>
        </w:rPr>
        <w:t>Применение современных электрических аппаратов для создания интеллектуальных электрических сетей</w:t>
      </w:r>
      <w:bookmarkStart w:id="0" w:name="_GoBack"/>
      <w:bookmarkEnd w:id="0"/>
    </w:p>
    <w:p w:rsidR="0033476B" w:rsidRPr="00586818" w:rsidRDefault="0033476B" w:rsidP="00586818">
      <w:pPr>
        <w:ind w:left="-284"/>
      </w:pPr>
    </w:p>
    <w:sectPr w:rsidR="0033476B" w:rsidRPr="0058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B03B4"/>
    <w:multiLevelType w:val="hybridMultilevel"/>
    <w:tmpl w:val="FD5698BA"/>
    <w:lvl w:ilvl="0" w:tplc="BA20D6F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18"/>
    <w:rsid w:val="0033476B"/>
    <w:rsid w:val="003E46F6"/>
    <w:rsid w:val="00586818"/>
    <w:rsid w:val="00757481"/>
    <w:rsid w:val="00E4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8681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586818"/>
    <w:pPr>
      <w:widowControl w:val="0"/>
      <w:shd w:val="clear" w:color="auto" w:fill="FFFFFF"/>
      <w:spacing w:after="3900" w:line="360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8681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586818"/>
    <w:pPr>
      <w:widowControl w:val="0"/>
      <w:shd w:val="clear" w:color="auto" w:fill="FFFFFF"/>
      <w:spacing w:after="3900" w:line="360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2018-12-06T07:50:00Z</dcterms:created>
  <dcterms:modified xsi:type="dcterms:W3CDTF">2018-12-06T07:51:00Z</dcterms:modified>
</cp:coreProperties>
</file>